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A216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Case 1</w:t>
      </w:r>
    </w:p>
    <w:p w14:paraId="68BC95D9" w14:textId="5C6980D8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Results:</w:t>
      </w:r>
    </w:p>
    <w:p w14:paraId="25CD99B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FT3:&gt; 30.8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pmol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FT4: 98.9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pmol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TSH: &lt;0.005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mIU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Antithyroglobulin: 153.3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Antithyreoperoxidase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387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TRAK: 23.49 IU / l</w:t>
      </w:r>
    </w:p>
    <w:p w14:paraId="65702085" w14:textId="68AB6691" w:rsid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Thyroid sonography: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</w:t>
      </w:r>
      <w:r w:rsidRPr="00B9551F">
        <w:rPr>
          <w:rFonts w:asciiTheme="majorHAnsi" w:eastAsia="Times New Roman" w:hAnsiTheme="majorHAnsi" w:cstheme="majorHAnsi"/>
          <w:lang w:val="en-US" w:eastAsia="cs-CZ"/>
        </w:rPr>
        <w:br/>
        <w:t>Right lobe: 19 x 16 x 61 mm. Left lobe: 19 x 18 x 63 mm. A marginally large thyroid gland with reduced echogenicity and a markedly small-deposited inhomogeneous structure has a significantly increased perfusion.</w:t>
      </w:r>
    </w:p>
    <w:p w14:paraId="128AC236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</w:p>
    <w:p w14:paraId="24486AAF" w14:textId="38DBF0A3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Case 2</w:t>
      </w:r>
    </w:p>
    <w:p w14:paraId="6D15913D" w14:textId="71BDE6A1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Results:</w:t>
      </w:r>
      <w:r>
        <w:rPr>
          <w:rFonts w:asciiTheme="majorHAnsi" w:eastAsia="Times New Roman" w:hAnsiTheme="majorHAnsi" w:cstheme="majorHAnsi"/>
          <w:lang w:val="en-US" w:eastAsia="cs-CZ"/>
        </w:rPr>
        <w:t xml:space="preserve"> </w:t>
      </w:r>
      <w:r>
        <w:rPr>
          <w:rFonts w:asciiTheme="majorHAnsi" w:eastAsia="Times New Roman" w:hAnsiTheme="majorHAnsi" w:cstheme="majorHAnsi"/>
          <w:lang w:val="en-US" w:eastAsia="cs-CZ"/>
        </w:rPr>
        <w:br/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FT4: 3.7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pmol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TSH: 155.476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mIU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Antithyreoglobulin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2298.5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Antithyreoperoxidase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3797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</w:t>
      </w:r>
    </w:p>
    <w:p w14:paraId="502801B8" w14:textId="261032D2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Thyroid sonography:</w:t>
      </w:r>
      <w:r>
        <w:rPr>
          <w:rFonts w:asciiTheme="majorHAnsi" w:eastAsia="Times New Roman" w:hAnsiTheme="majorHAnsi" w:cstheme="majorHAnsi"/>
          <w:lang w:val="en-US" w:eastAsia="cs-CZ"/>
        </w:rPr>
        <w:t xml:space="preserve"> </w:t>
      </w:r>
      <w:r>
        <w:rPr>
          <w:rFonts w:asciiTheme="majorHAnsi" w:eastAsia="Times New Roman" w:hAnsiTheme="majorHAnsi" w:cstheme="majorHAnsi"/>
          <w:lang w:val="en-US" w:eastAsia="cs-CZ"/>
        </w:rPr>
        <w:br/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Thyroid small, parenchyma is inhomogeneous, echogenicity is reduced, perfusion is normal, mobility is maintained. The right lobe has a size of 8x8x32 mm, </w:t>
      </w:r>
      <w:r>
        <w:rPr>
          <w:rFonts w:asciiTheme="majorHAnsi" w:eastAsia="Times New Roman" w:hAnsiTheme="majorHAnsi" w:cstheme="majorHAnsi"/>
          <w:lang w:val="en-US" w:eastAsia="cs-CZ"/>
        </w:rPr>
        <w:t>volume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1 ml. The left lobe has a size of 10x7x39 mm,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ie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1.5 ml. </w:t>
      </w:r>
      <w:r>
        <w:rPr>
          <w:rFonts w:asciiTheme="majorHAnsi" w:eastAsia="Times New Roman" w:hAnsiTheme="majorHAnsi" w:cstheme="majorHAnsi"/>
          <w:lang w:val="en-US" w:eastAsia="cs-CZ"/>
        </w:rPr>
        <w:t>E</w:t>
      </w:r>
      <w:r w:rsidRPr="00B9551F">
        <w:rPr>
          <w:rFonts w:asciiTheme="majorHAnsi" w:eastAsia="Times New Roman" w:hAnsiTheme="majorHAnsi" w:cstheme="majorHAnsi"/>
          <w:lang w:val="en-US" w:eastAsia="cs-CZ"/>
        </w:rPr>
        <w:t>nlarged lymph nodes</w:t>
      </w:r>
      <w:r>
        <w:rPr>
          <w:rFonts w:asciiTheme="majorHAnsi" w:eastAsia="Times New Roman" w:hAnsiTheme="majorHAnsi" w:cstheme="majorHAnsi"/>
          <w:lang w:val="en-US" w:eastAsia="cs-CZ"/>
        </w:rPr>
        <w:t xml:space="preserve"> are not seen</w:t>
      </w:r>
      <w:r w:rsidRPr="00B9551F">
        <w:rPr>
          <w:rFonts w:asciiTheme="majorHAnsi" w:eastAsia="Times New Roman" w:hAnsiTheme="majorHAnsi" w:cstheme="majorHAnsi"/>
          <w:lang w:val="en-US" w:eastAsia="cs-CZ"/>
        </w:rPr>
        <w:t>.</w:t>
      </w:r>
      <w:r>
        <w:rPr>
          <w:rFonts w:asciiTheme="majorHAnsi" w:eastAsia="Times New Roman" w:hAnsiTheme="majorHAnsi" w:cstheme="majorHAnsi"/>
          <w:lang w:val="en-US" w:eastAsia="cs-CZ"/>
        </w:rPr>
        <w:br/>
      </w:r>
      <w:r w:rsidRPr="00B9551F">
        <w:rPr>
          <w:rFonts w:asciiTheme="majorHAnsi" w:eastAsia="Times New Roman" w:hAnsiTheme="majorHAnsi" w:cstheme="majorHAnsi"/>
          <w:lang w:val="en-US" w:eastAsia="cs-CZ"/>
        </w:rPr>
        <w:t>Conclusion: Atrophic thyroiditis</w:t>
      </w:r>
    </w:p>
    <w:p w14:paraId="29D6C663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32D5E717" w14:textId="2E615011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Case 3</w:t>
      </w:r>
    </w:p>
    <w:p w14:paraId="530F1B18" w14:textId="681AD28F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>
        <w:rPr>
          <w:rFonts w:asciiTheme="majorHAnsi" w:eastAsia="Times New Roman" w:hAnsiTheme="majorHAnsi" w:cstheme="majorHAnsi"/>
          <w:lang w:val="en-US" w:eastAsia="cs-CZ"/>
        </w:rPr>
        <w:t>A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45</w:t>
      </w:r>
      <w:r>
        <w:rPr>
          <w:rFonts w:asciiTheme="majorHAnsi" w:eastAsia="Times New Roman" w:hAnsiTheme="majorHAnsi" w:cstheme="majorHAnsi"/>
          <w:lang w:val="en-US" w:eastAsia="cs-CZ"/>
        </w:rPr>
        <w:t>-</w:t>
      </w:r>
      <w:r w:rsidRPr="00B9551F">
        <w:rPr>
          <w:rFonts w:asciiTheme="majorHAnsi" w:eastAsia="Times New Roman" w:hAnsiTheme="majorHAnsi" w:cstheme="majorHAnsi"/>
          <w:lang w:val="en-US" w:eastAsia="cs-CZ"/>
        </w:rPr>
        <w:t>year</w:t>
      </w:r>
      <w:r>
        <w:rPr>
          <w:rFonts w:asciiTheme="majorHAnsi" w:eastAsia="Times New Roman" w:hAnsiTheme="majorHAnsi" w:cstheme="majorHAnsi"/>
          <w:lang w:val="en-US" w:eastAsia="cs-CZ"/>
        </w:rPr>
        <w:t>-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old patient comes for chest pain, </w:t>
      </w:r>
      <w:r>
        <w:rPr>
          <w:rFonts w:asciiTheme="majorHAnsi" w:eastAsia="Times New Roman" w:hAnsiTheme="majorHAnsi" w:cstheme="majorHAnsi"/>
          <w:lang w:val="en-US" w:eastAsia="cs-CZ"/>
        </w:rPr>
        <w:t>coronarography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with a finding of significant RIA stenosis and insignificant stenotic changes in other coronary arteries. The patient has a positive family history of premature manifestations of coronary heart disease. Physical findings include arcus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lipoides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cornae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and bilateral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xantelasmata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of the eyelids.</w:t>
      </w:r>
    </w:p>
    <w:p w14:paraId="172AC462" w14:textId="0556458D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Results:</w:t>
      </w:r>
      <w:r>
        <w:rPr>
          <w:rFonts w:asciiTheme="majorHAnsi" w:eastAsia="Times New Roman" w:hAnsiTheme="majorHAnsi" w:cstheme="majorHAnsi"/>
          <w:lang w:val="en-US" w:eastAsia="cs-CZ"/>
        </w:rPr>
        <w:t xml:space="preserve"> </w:t>
      </w:r>
      <w:r>
        <w:rPr>
          <w:rFonts w:asciiTheme="majorHAnsi" w:eastAsia="Times New Roman" w:hAnsiTheme="majorHAnsi" w:cstheme="majorHAnsi"/>
          <w:lang w:val="en-US" w:eastAsia="cs-CZ"/>
        </w:rPr>
        <w:br/>
      </w:r>
      <w:r w:rsidRPr="00B9551F">
        <w:rPr>
          <w:rFonts w:asciiTheme="majorHAnsi" w:eastAsia="Times New Roman" w:hAnsiTheme="majorHAnsi" w:cstheme="majorHAnsi"/>
          <w:lang w:val="en-US" w:eastAsia="cs-CZ"/>
        </w:rPr>
        <w:t>Total cholesterol 10.73 mmol / l</w:t>
      </w:r>
      <w:r>
        <w:rPr>
          <w:rFonts w:asciiTheme="majorHAnsi" w:eastAsia="Times New Roman" w:hAnsiTheme="majorHAnsi" w:cstheme="majorHAnsi"/>
          <w:lang w:val="en-US" w:eastAsia="cs-CZ"/>
        </w:rPr>
        <w:t xml:space="preserve">, </w:t>
      </w:r>
      <w:r w:rsidRPr="00B9551F">
        <w:rPr>
          <w:rFonts w:asciiTheme="majorHAnsi" w:eastAsia="Times New Roman" w:hAnsiTheme="majorHAnsi" w:cstheme="majorHAnsi"/>
          <w:lang w:val="en-US" w:eastAsia="cs-CZ"/>
        </w:rPr>
        <w:t>LDL-cholesterol 8.76 mmol / l</w:t>
      </w:r>
      <w:r>
        <w:rPr>
          <w:rFonts w:asciiTheme="majorHAnsi" w:eastAsia="Times New Roman" w:hAnsiTheme="majorHAnsi" w:cstheme="majorHAnsi"/>
          <w:lang w:val="en-US" w:eastAsia="cs-CZ"/>
        </w:rPr>
        <w:t xml:space="preserve">, </w:t>
      </w:r>
      <w:r w:rsidRPr="00B9551F">
        <w:rPr>
          <w:rFonts w:asciiTheme="majorHAnsi" w:eastAsia="Times New Roman" w:hAnsiTheme="majorHAnsi" w:cstheme="majorHAnsi"/>
          <w:lang w:val="en-US" w:eastAsia="cs-CZ"/>
        </w:rPr>
        <w:t>HDL-cholesterol 1.44 mmol / l</w:t>
      </w:r>
      <w:r>
        <w:rPr>
          <w:rFonts w:asciiTheme="majorHAnsi" w:eastAsia="Times New Roman" w:hAnsiTheme="majorHAnsi" w:cstheme="majorHAnsi"/>
          <w:lang w:val="en-US" w:eastAsia="cs-CZ"/>
        </w:rPr>
        <w:t xml:space="preserve">, </w:t>
      </w:r>
      <w:r w:rsidRPr="00B9551F">
        <w:rPr>
          <w:rFonts w:asciiTheme="majorHAnsi" w:eastAsia="Times New Roman" w:hAnsiTheme="majorHAnsi" w:cstheme="majorHAnsi"/>
          <w:lang w:val="en-US" w:eastAsia="cs-CZ"/>
        </w:rPr>
        <w:t>triglycerides 1.17 mmol / l.</w:t>
      </w:r>
    </w:p>
    <w:p w14:paraId="5EBC9235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5F9FDE5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B9551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Case 4</w:t>
      </w:r>
    </w:p>
    <w:p w14:paraId="7591045E" w14:textId="7D4A1560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Minerals + Osmolality: Na: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127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[137..146], K: 3.9 [3.8..5.0], Cl: 100 [97..108], Ca: 2.16 [2.00. .2.75], P: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0.43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[0.65..1.61], Mg: 0.81 [0.70..1.00]</w:t>
      </w:r>
    </w:p>
    <w:p w14:paraId="50DDB4DB" w14:textId="4A857799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Nitrogen metabolites: Urea: 5.8 [2.8..8.0],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Creat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.: 90 [44..110]</w:t>
      </w:r>
    </w:p>
    <w:p w14:paraId="3D220A2A" w14:textId="55702698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Liver tests: Bilirubin: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22.1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[2.0..17.0], Bili ex: 4.5 [0.0..5.1], ALT: 0.49 [0.10..0, 78], AST: 0.37 [0.10..0.72], GGT: 0.39 [0.14..0.84], ALP: 1.66 [0.66..2.20]</w:t>
      </w:r>
    </w:p>
    <w:p w14:paraId="5C71605A" w14:textId="3EE4D615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lastRenderedPageBreak/>
        <w:t xml:space="preserve">Protein: Albumin: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26.1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[35.0..53.0], CB: 69.8 [65.0..85.0], CRP: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222.1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[0.0..5.0]</w:t>
      </w:r>
    </w:p>
    <w:p w14:paraId="4796FDB5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Lipids: Chol: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8.90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[2.90..5.00], TAG: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13.51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[0.45..1.70], HDL-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chol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0.21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[1.00..2.10 ], Cholesterol LDL: 1.81 [0.00..3.00], Atherogenicity index: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41.4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[0.0..4.2], Non-HDL calculation: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8.7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 .3.8]</w:t>
      </w:r>
    </w:p>
    <w:p w14:paraId="56B8ACA0" w14:textId="0646A31D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Thyroid: TSH: 1,649 [0,500..4,900]</w:t>
      </w:r>
    </w:p>
    <w:p w14:paraId="32F91038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Diabetic profile: Glycemia: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13.2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[3.9..5.6], Glyc.HbA1c: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96.0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[20.0..42.0]</w:t>
      </w:r>
    </w:p>
    <w:p w14:paraId="6ECA5957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Antibodies: Anti IA2: &lt;7.5 [0.0..7.5], Anti GAD: &lt;5.00 [0.00..5.00], C peptide: 0.94000 [0.37000 .. 1.47000]</w:t>
      </w:r>
    </w:p>
    <w:p w14:paraId="157B4054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ABR: no sights</w:t>
      </w:r>
    </w:p>
    <w:p w14:paraId="54231A11" w14:textId="42ECEC64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Urine chemically: pH: 6.0 [5.0..7.0], Density: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1.028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[1.015..1.025], Protein orient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.: 1.00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[0.00..0.30], Glycosuria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:&gt; 56.0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[0.0..0.0], Ketone bodies: negative. [0,0..0,0], Bilirubin: neg, Urobilinogen: neg, Urinary erythrocytes: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100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[0..10],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Leuko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>: neg, Nitrites: neg</w:t>
      </w:r>
    </w:p>
    <w:p w14:paraId="1CA413EC" w14:textId="2182BE4B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Urine - sediment: Mucus: pos, ERY: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14,0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[0,0..5,0], LEUKO: 4,0 [0,0..10,0], Epit.pl: 5,0 [0, 0..15.0]</w:t>
      </w:r>
    </w:p>
    <w:p w14:paraId="6E65EDAF" w14:textId="578F505C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 </w:t>
      </w:r>
    </w:p>
    <w:p w14:paraId="575C57A5" w14:textId="77777777" w:rsidR="00B9551F" w:rsidRPr="00A156DB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Case 5</w:t>
      </w:r>
    </w:p>
    <w:p w14:paraId="0C9B4590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Minerals + Osmolality: Na: 140;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135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[137..146], K: 3.8; 4.1 [3.8..5.0], Cl: 97; 103 [97..108], Ca: 2.23 [2.00..2.75], P: 0.69 [0.65..1.61], Fe: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 xml:space="preserve">37.4 </w:t>
      </w:r>
      <w:r w:rsidRPr="00B9551F">
        <w:rPr>
          <w:rFonts w:asciiTheme="majorHAnsi" w:eastAsia="Times New Roman" w:hAnsiTheme="majorHAnsi" w:cstheme="majorHAnsi"/>
          <w:lang w:val="en-US" w:eastAsia="cs-CZ"/>
        </w:rPr>
        <w:t>[6.6. .28.0]</w:t>
      </w:r>
    </w:p>
    <w:p w14:paraId="100BAEAC" w14:textId="1C276430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Nitrogen metabolites: Urea: 6.2 [2.0..6.7],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Creat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.: 99 [44..104]</w:t>
      </w:r>
    </w:p>
    <w:p w14:paraId="36D7B828" w14:textId="0FC1E2D3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Liver tests: Bilirubin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: 37.6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[2.0..17.0], Bili ex: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9.2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[0.0..5.1], ALT: 0.31 [0.10..0, 78], AST: 0.33 [0.10..0.72], GGT: 0.26 [0.14..0.68], ALP: 0.87 [0.66..2.20]</w:t>
      </w:r>
    </w:p>
    <w:p w14:paraId="538948BB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Protein: CB: 76.7 [65.0..85.0], CRP: &lt;1.0 [0.0..5.0]</w:t>
      </w:r>
    </w:p>
    <w:p w14:paraId="34F4D2B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Thyroid: FT4: 20.3 [11.5..22.7], TSH: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0.181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[0.500..4.900]</w:t>
      </w:r>
    </w:p>
    <w:p w14:paraId="216B04BD" w14:textId="670BAF86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Diabetic profile: Glycemia: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19.0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[3.9..5.6], Glyc.HbA1c: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96.0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[20.0..42.0]</w:t>
      </w:r>
    </w:p>
    <w:p w14:paraId="21A17EB5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Antibodies: Anti IA2: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7.1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[0.0..1.1], Anti GAD: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2.30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[0.00..1.45], INS: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2.41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[2.60..24.90 ], C peptide: </w:t>
      </w:r>
      <w:r w:rsidRPr="00B9551F">
        <w:rPr>
          <w:rFonts w:asciiTheme="majorHAnsi" w:eastAsia="Times New Roman" w:hAnsiTheme="majorHAnsi" w:cstheme="majorHAnsi"/>
          <w:b/>
          <w:bCs/>
          <w:lang w:val="en-US" w:eastAsia="cs-CZ"/>
        </w:rPr>
        <w:t>0.15000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[0.37000..1.47000], Anti AAI (free): 4.7 [0.0..5.5]</w:t>
      </w:r>
    </w:p>
    <w:p w14:paraId="0AAD84B0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ABR: Lactate: 1.30 [0.50..2.00], pH: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7.246 [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7.350..7.440], pCO2: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4.33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[4.70..6.00], Act. Bicarbonate: 13, 6 [22,0..26,0], Standard bicarbonate: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14,2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[22,0..26,0], Current excess current: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-12,5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[-2,0..2,0], pO2: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4.6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[9.9..13.5], sat.O2: 53.9 [94.0..99.0], tot.CO2: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12.3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[23.0..27.0 ],</w:t>
      </w:r>
    </w:p>
    <w:p w14:paraId="3DC812A7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Blood count: no sights</w:t>
      </w:r>
    </w:p>
    <w:p w14:paraId="3CB3ACB3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Urine chemically: pH: 6.0 [5.0..7.0], Density: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1.042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[1.015..1.025], Protein orient .: neg, Glycosuria:&gt;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56.0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[0.0..0.0 ], Ketone bodies: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4,0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[0,0..0,0], Bilirubin: neg, Urobilinogen: neg, Urinary erythrocytes: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 xml:space="preserve">75 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[0..10],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Leuko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>: neg, Nitrites: neg</w:t>
      </w:r>
    </w:p>
    <w:p w14:paraId="001C3397" w14:textId="695FC6E2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lastRenderedPageBreak/>
        <w:t xml:space="preserve">Urine - sediment: Mucus: pos, ERY: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13,0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[0,0..10,0], LEUKO: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22,0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[0,0..20,0], Epit.pl: 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11,0</w:t>
      </w: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[0, 0..10,0],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Epit.k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>: &lt;1,0 [0,0..3,0]</w:t>
      </w:r>
    </w:p>
    <w:p w14:paraId="54F3DE1A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2A9C78C5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4FD1DFF4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41896AE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4FD81DC0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30FA412B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0BA2D01D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00169293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D01C10E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47582402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1B6A33D3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5452E9FC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0BE75B91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45B0762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1DB2BED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6D5123A9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5CD20281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FB6EF4B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280707AF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30BE8CBB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1929B8B4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09F91E7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34AD33D2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3A9BE27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51F0C737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lastRenderedPageBreak/>
        <w:t> </w:t>
      </w:r>
    </w:p>
    <w:p w14:paraId="1D177C4C" w14:textId="77777777" w:rsidR="00B9551F" w:rsidRPr="00A156DB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Explanation No. 1:</w:t>
      </w:r>
    </w:p>
    <w:p w14:paraId="290837FE" w14:textId="77777777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FT3:&gt; 30.8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pmol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 [3.4..6.3], FT4: 98.9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pmol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 [10.0..18.7], TSH: &lt;0.005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mIU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 [0.500 .. 4,900],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Antithyreoglobulin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153.3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 [0.0..60.0],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Antithyreoperoxidase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: 387 </w:t>
      </w:r>
      <w:proofErr w:type="spellStart"/>
      <w:r w:rsidRPr="00B9551F">
        <w:rPr>
          <w:rFonts w:asciiTheme="majorHAnsi" w:eastAsia="Times New Roman" w:hAnsiTheme="majorHAnsi" w:cstheme="majorHAnsi"/>
          <w:lang w:val="en-US" w:eastAsia="cs-CZ"/>
        </w:rPr>
        <w:t>kIU</w:t>
      </w:r>
      <w:proofErr w:type="spellEnd"/>
      <w:r w:rsidRPr="00B9551F">
        <w:rPr>
          <w:rFonts w:asciiTheme="majorHAnsi" w:eastAsia="Times New Roman" w:hAnsiTheme="majorHAnsi" w:cstheme="majorHAnsi"/>
          <w:lang w:val="en-US" w:eastAsia="cs-CZ"/>
        </w:rPr>
        <w:t xml:space="preserve"> / l [0..60], TRAK: 23.49 IU / l [0.00..1 , 75]</w:t>
      </w:r>
    </w:p>
    <w:p w14:paraId="5946BEA4" w14:textId="08614715" w:rsidR="00B9551F" w:rsidRPr="00A156DB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 xml:space="preserve">The findings of hormonal examination show hyperthyroidism, positivity of TRAK (antibodies against TSH receptor) indicates </w:t>
      </w:r>
      <w:r w:rsidRPr="00A156DB">
        <w:rPr>
          <w:rFonts w:asciiTheme="majorHAnsi" w:eastAsia="Times New Roman" w:hAnsiTheme="majorHAnsi" w:cstheme="majorHAnsi"/>
          <w:b/>
          <w:bCs/>
          <w:u w:val="single"/>
          <w:lang w:val="en-US" w:eastAsia="cs-CZ"/>
        </w:rPr>
        <w:t>Graves-</w:t>
      </w:r>
      <w:proofErr w:type="spellStart"/>
      <w:r w:rsidRPr="00A156DB">
        <w:rPr>
          <w:rFonts w:asciiTheme="majorHAnsi" w:eastAsia="Times New Roman" w:hAnsiTheme="majorHAnsi" w:cstheme="majorHAnsi"/>
          <w:b/>
          <w:bCs/>
          <w:u w:val="single"/>
          <w:lang w:val="en-US" w:eastAsia="cs-CZ"/>
        </w:rPr>
        <w:t>Basedow</w:t>
      </w:r>
      <w:proofErr w:type="spellEnd"/>
      <w:r w:rsidRPr="00A156DB">
        <w:rPr>
          <w:rFonts w:asciiTheme="majorHAnsi" w:eastAsia="Times New Roman" w:hAnsiTheme="majorHAnsi" w:cstheme="majorHAnsi"/>
          <w:b/>
          <w:bCs/>
          <w:u w:val="single"/>
          <w:lang w:val="en-US" w:eastAsia="cs-CZ"/>
        </w:rPr>
        <w:t xml:space="preserve"> disease</w:t>
      </w:r>
      <w:r w:rsidRPr="00A156DB">
        <w:rPr>
          <w:rFonts w:asciiTheme="majorHAnsi" w:eastAsia="Times New Roman" w:hAnsiTheme="majorHAnsi" w:cstheme="majorHAnsi"/>
          <w:b/>
          <w:bCs/>
          <w:lang w:val="en-US" w:eastAsia="cs-CZ"/>
        </w:rPr>
        <w:t>.</w:t>
      </w:r>
    </w:p>
    <w:p w14:paraId="0A0C839B" w14:textId="23453170" w:rsidR="00B9551F" w:rsidRPr="00A156DB" w:rsidRDefault="00A156DB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A156DB">
        <w:rPr>
          <w:rFonts w:asciiTheme="majorHAnsi" w:eastAsia="Times New Roman" w:hAnsiTheme="majorHAnsi" w:cstheme="majorHAnsi"/>
          <w:lang w:val="en-US" w:eastAsia="cs-CZ"/>
        </w:rPr>
        <w:t>Ultrasound findings</w:t>
      </w:r>
      <w:r w:rsidR="00B9551F" w:rsidRPr="00A156DB">
        <w:rPr>
          <w:rFonts w:asciiTheme="majorHAnsi" w:eastAsia="Times New Roman" w:hAnsiTheme="majorHAnsi" w:cstheme="majorHAnsi"/>
          <w:lang w:val="en-US" w:eastAsia="cs-CZ"/>
        </w:rPr>
        <w:t xml:space="preserve"> of a patient with Graves-</w:t>
      </w:r>
      <w:proofErr w:type="spellStart"/>
      <w:r w:rsidR="00B9551F" w:rsidRPr="00A156DB">
        <w:rPr>
          <w:rFonts w:asciiTheme="majorHAnsi" w:eastAsia="Times New Roman" w:hAnsiTheme="majorHAnsi" w:cstheme="majorHAnsi"/>
          <w:lang w:val="en-US" w:eastAsia="cs-CZ"/>
        </w:rPr>
        <w:t>Basedow</w:t>
      </w:r>
      <w:proofErr w:type="spellEnd"/>
      <w:r w:rsidRPr="00A156DB">
        <w:rPr>
          <w:rFonts w:asciiTheme="majorHAnsi" w:eastAsia="Times New Roman" w:hAnsiTheme="majorHAnsi" w:cstheme="majorHAnsi"/>
          <w:lang w:val="en-US" w:eastAsia="cs-CZ"/>
        </w:rPr>
        <w:t xml:space="preserve"> is attached.</w:t>
      </w:r>
    </w:p>
    <w:p w14:paraId="2A0F8345" w14:textId="28F0F8B6" w:rsidR="00B9551F" w:rsidRPr="00B9551F" w:rsidRDefault="00B9551F" w:rsidP="00B9551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Thyroid sonography:</w:t>
      </w:r>
      <w:r w:rsidR="00A156DB">
        <w:rPr>
          <w:rFonts w:asciiTheme="majorHAnsi" w:eastAsia="Times New Roman" w:hAnsiTheme="majorHAnsi" w:cstheme="majorHAnsi"/>
          <w:lang w:val="en-US" w:eastAsia="cs-CZ"/>
        </w:rPr>
        <w:t xml:space="preserve">  </w:t>
      </w:r>
      <w:r w:rsidRPr="00B9551F">
        <w:rPr>
          <w:rFonts w:asciiTheme="majorHAnsi" w:eastAsia="Times New Roman" w:hAnsiTheme="majorHAnsi" w:cstheme="majorHAnsi"/>
          <w:lang w:val="en-US" w:eastAsia="cs-CZ"/>
        </w:rPr>
        <w:t>Right lobe: 19 x 16 x 61 mm. Left lobe: 19 x 18 x 63 mm. A marginally large thyroid gland with reduced echogenicity and a markedly small-deposited inhomogeneous structure has a significantly increased perfusion.</w:t>
      </w:r>
    </w:p>
    <w:p w14:paraId="5E40CAAF" w14:textId="7D2A1779" w:rsidR="00B9551F" w:rsidRPr="00A156DB" w:rsidRDefault="00B9551F" w:rsidP="00A15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val="en-US" w:eastAsia="cs-CZ"/>
        </w:rPr>
      </w:pPr>
      <w:r w:rsidRPr="00B9551F">
        <w:rPr>
          <w:rFonts w:asciiTheme="majorHAnsi" w:eastAsia="Times New Roman" w:hAnsiTheme="majorHAnsi" w:cstheme="majorHAnsi"/>
          <w:lang w:val="en-US" w:eastAsia="cs-CZ"/>
        </w:rPr>
        <w:t> </w:t>
      </w:r>
    </w:p>
    <w:p w14:paraId="76AC8A8A" w14:textId="77777777" w:rsidR="00B9551F" w:rsidRPr="00A156DB" w:rsidRDefault="00B9551F" w:rsidP="00A15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Explanation No.2:</w:t>
      </w:r>
    </w:p>
    <w:p w14:paraId="7B92A444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FT4: 3.7 </w:t>
      </w:r>
      <w:proofErr w:type="spellStart"/>
      <w:r w:rsidRPr="00B9551F">
        <w:rPr>
          <w:rFonts w:asciiTheme="majorHAnsi" w:hAnsiTheme="majorHAnsi" w:cstheme="majorHAnsi"/>
          <w:lang w:val="en-US"/>
        </w:rPr>
        <w:t>pmol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/ l [11.5..22.7], TSH: 155.476 </w:t>
      </w:r>
      <w:proofErr w:type="spellStart"/>
      <w:r w:rsidRPr="00B9551F">
        <w:rPr>
          <w:rFonts w:asciiTheme="majorHAnsi" w:hAnsiTheme="majorHAnsi" w:cstheme="majorHAnsi"/>
          <w:lang w:val="en-US"/>
        </w:rPr>
        <w:t>mIU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/ l [0.500..4.900], Antithyroglobulin: 2298.5 </w:t>
      </w:r>
      <w:proofErr w:type="spellStart"/>
      <w:r w:rsidRPr="00B9551F">
        <w:rPr>
          <w:rFonts w:asciiTheme="majorHAnsi" w:hAnsiTheme="majorHAnsi" w:cstheme="majorHAnsi"/>
          <w:lang w:val="en-US"/>
        </w:rPr>
        <w:t>kIU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/ l [0.0..60.0] , </w:t>
      </w:r>
      <w:proofErr w:type="spellStart"/>
      <w:r w:rsidRPr="00B9551F">
        <w:rPr>
          <w:rFonts w:asciiTheme="majorHAnsi" w:hAnsiTheme="majorHAnsi" w:cstheme="majorHAnsi"/>
          <w:lang w:val="en-US"/>
        </w:rPr>
        <w:t>Antithyreoperoxidase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: 3797 </w:t>
      </w:r>
      <w:proofErr w:type="spellStart"/>
      <w:r w:rsidRPr="00B9551F">
        <w:rPr>
          <w:rFonts w:asciiTheme="majorHAnsi" w:hAnsiTheme="majorHAnsi" w:cstheme="majorHAnsi"/>
          <w:lang w:val="en-US"/>
        </w:rPr>
        <w:t>kIU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/ l [0..60]</w:t>
      </w:r>
    </w:p>
    <w:p w14:paraId="05CB0E73" w14:textId="77777777" w:rsidR="00B9551F" w:rsidRPr="00A156DB" w:rsidRDefault="00B9551F" w:rsidP="00B9551F">
      <w:pPr>
        <w:rPr>
          <w:rFonts w:asciiTheme="majorHAnsi" w:hAnsiTheme="majorHAnsi" w:cstheme="majorHAnsi"/>
          <w:b/>
          <w:bCs/>
          <w:lang w:val="en-US"/>
        </w:rPr>
      </w:pPr>
      <w:r w:rsidRPr="00A156DB">
        <w:rPr>
          <w:rFonts w:asciiTheme="majorHAnsi" w:hAnsiTheme="majorHAnsi" w:cstheme="majorHAnsi"/>
          <w:b/>
          <w:bCs/>
          <w:lang w:val="en-US"/>
        </w:rPr>
        <w:t xml:space="preserve">The findings of hormonal examination show peripheral hypothyroidism, the positivity of antibodies against thyroglobulin and thyroid peroxidase indicate </w:t>
      </w:r>
      <w:r w:rsidRPr="00A156DB">
        <w:rPr>
          <w:rFonts w:asciiTheme="majorHAnsi" w:hAnsiTheme="majorHAnsi" w:cstheme="majorHAnsi"/>
          <w:b/>
          <w:bCs/>
          <w:u w:val="single"/>
          <w:lang w:val="en-US"/>
        </w:rPr>
        <w:t>chronic lymphocytic thyroiditis</w:t>
      </w:r>
      <w:r w:rsidRPr="00A156DB">
        <w:rPr>
          <w:rFonts w:asciiTheme="majorHAnsi" w:hAnsiTheme="majorHAnsi" w:cstheme="majorHAnsi"/>
          <w:b/>
          <w:bCs/>
          <w:lang w:val="en-US"/>
        </w:rPr>
        <w:t>.</w:t>
      </w:r>
    </w:p>
    <w:p w14:paraId="4B8B1EEF" w14:textId="139F7045" w:rsidR="00B9551F" w:rsidRPr="00B9551F" w:rsidRDefault="00A156DB" w:rsidP="00A156DB">
      <w:pPr>
        <w:spacing w:before="100" w:beforeAutospacing="1" w:after="100" w:afterAutospacing="1" w:line="240" w:lineRule="auto"/>
        <w:rPr>
          <w:rFonts w:asciiTheme="majorHAnsi" w:hAnsiTheme="majorHAnsi" w:cstheme="majorHAnsi"/>
          <w:lang w:val="en-US"/>
        </w:rPr>
      </w:pPr>
      <w:r w:rsidRPr="00A156DB">
        <w:rPr>
          <w:rFonts w:asciiTheme="majorHAnsi" w:eastAsia="Times New Roman" w:hAnsiTheme="majorHAnsi" w:cstheme="majorHAnsi"/>
          <w:lang w:val="en-US" w:eastAsia="cs-CZ"/>
        </w:rPr>
        <w:t xml:space="preserve">Ultrasound findings of a patient with </w:t>
      </w:r>
      <w:r w:rsidR="00B9551F" w:rsidRPr="00B9551F">
        <w:rPr>
          <w:rFonts w:asciiTheme="majorHAnsi" w:hAnsiTheme="majorHAnsi" w:cstheme="majorHAnsi"/>
          <w:lang w:val="en-US"/>
        </w:rPr>
        <w:t>chronic lymphocytic thyroiditis.</w:t>
      </w:r>
    </w:p>
    <w:p w14:paraId="5E7C9D5A" w14:textId="582F605E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>Thyroid sonography:</w:t>
      </w:r>
      <w:r w:rsidR="00A156DB">
        <w:rPr>
          <w:rFonts w:asciiTheme="majorHAnsi" w:hAnsiTheme="majorHAnsi" w:cstheme="majorHAnsi"/>
          <w:lang w:val="en-US"/>
        </w:rPr>
        <w:t xml:space="preserve"> </w:t>
      </w:r>
      <w:r w:rsidRPr="00B9551F">
        <w:rPr>
          <w:rFonts w:asciiTheme="majorHAnsi" w:hAnsiTheme="majorHAnsi" w:cstheme="majorHAnsi"/>
          <w:lang w:val="en-US"/>
        </w:rPr>
        <w:t xml:space="preserve">Thyroid small, parenchyma is inhomogeneous, echogenicity is reduced, perfusion is normal, motility is maintained. The right lobe has a size of 8x8x32 mm, </w:t>
      </w:r>
      <w:proofErr w:type="spellStart"/>
      <w:r w:rsidRPr="00B9551F">
        <w:rPr>
          <w:rFonts w:asciiTheme="majorHAnsi" w:hAnsiTheme="majorHAnsi" w:cstheme="majorHAnsi"/>
          <w:lang w:val="en-US"/>
        </w:rPr>
        <w:t>ie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1 ml. The left lobe has a size of 10x7x39 mm, </w:t>
      </w:r>
      <w:r w:rsidR="00D5607F">
        <w:rPr>
          <w:rFonts w:asciiTheme="majorHAnsi" w:hAnsiTheme="majorHAnsi" w:cstheme="majorHAnsi"/>
          <w:lang w:val="en-US"/>
        </w:rPr>
        <w:t>volume</w:t>
      </w:r>
      <w:r w:rsidRPr="00B9551F">
        <w:rPr>
          <w:rFonts w:asciiTheme="majorHAnsi" w:hAnsiTheme="majorHAnsi" w:cstheme="majorHAnsi"/>
          <w:lang w:val="en-US"/>
        </w:rPr>
        <w:t xml:space="preserve"> 1.5 ml. I can't see enlarged lymph nodes.</w:t>
      </w:r>
      <w:r w:rsidR="00A156DB">
        <w:rPr>
          <w:rFonts w:asciiTheme="majorHAnsi" w:hAnsiTheme="majorHAnsi" w:cstheme="majorHAnsi"/>
          <w:lang w:val="en-US"/>
        </w:rPr>
        <w:br/>
      </w:r>
      <w:r w:rsidRPr="00B9551F">
        <w:rPr>
          <w:rFonts w:asciiTheme="majorHAnsi" w:hAnsiTheme="majorHAnsi" w:cstheme="majorHAnsi"/>
          <w:lang w:val="en-US"/>
        </w:rPr>
        <w:t>Conclusion: Atrophic thyroiditis</w:t>
      </w:r>
    </w:p>
    <w:p w14:paraId="6DAD76FC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32BA93F7" w14:textId="77777777" w:rsidR="00B9551F" w:rsidRPr="00A156DB" w:rsidRDefault="00B9551F" w:rsidP="00A15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Explanation No. 3:</w:t>
      </w:r>
    </w:p>
    <w:p w14:paraId="3ACB2C4B" w14:textId="4B227D8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The patient is heterozygous for familial hypercholesterolemia caused by a mutation in the LDL-receptor gene. As a result, the catabolism of LDL particles </w:t>
      </w:r>
      <w:r w:rsidR="00A156DB">
        <w:rPr>
          <w:rFonts w:asciiTheme="majorHAnsi" w:hAnsiTheme="majorHAnsi" w:cstheme="majorHAnsi"/>
          <w:lang w:val="en-US"/>
        </w:rPr>
        <w:t>is reduced</w:t>
      </w:r>
      <w:r w:rsidRPr="00B9551F">
        <w:rPr>
          <w:rFonts w:asciiTheme="majorHAnsi" w:hAnsiTheme="majorHAnsi" w:cstheme="majorHAnsi"/>
          <w:lang w:val="en-US"/>
        </w:rPr>
        <w:t xml:space="preserve">, total and LDL </w:t>
      </w:r>
      <w:proofErr w:type="spellStart"/>
      <w:r w:rsidRPr="00B9551F">
        <w:rPr>
          <w:rFonts w:asciiTheme="majorHAnsi" w:hAnsiTheme="majorHAnsi" w:cstheme="majorHAnsi"/>
          <w:lang w:val="en-US"/>
        </w:rPr>
        <w:t>cholesterolemia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increase, and the risk of premature manifestation of atherothrombotic vascular complications increases dramatically. It is an autosomal dominantly transmitted disease, so it is necessary to examine family members!</w:t>
      </w:r>
    </w:p>
    <w:p w14:paraId="1F6F109D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02DD28F0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797820C1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108D7458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1DB5117D" w14:textId="77777777" w:rsidR="00B9551F" w:rsidRPr="00A156DB" w:rsidRDefault="00B9551F" w:rsidP="00A15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lastRenderedPageBreak/>
        <w:t>Explanation No.4:</w:t>
      </w:r>
    </w:p>
    <w:p w14:paraId="466CA0C2" w14:textId="45D6037A" w:rsidR="00B9551F" w:rsidRPr="00B9551F" w:rsidRDefault="00A156DB" w:rsidP="00B9551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First </w:t>
      </w:r>
      <w:r w:rsidR="00B9551F" w:rsidRPr="00B9551F">
        <w:rPr>
          <w:rFonts w:asciiTheme="majorHAnsi" w:hAnsiTheme="majorHAnsi" w:cstheme="majorHAnsi"/>
          <w:lang w:val="en-US"/>
        </w:rPr>
        <w:t xml:space="preserve">manifestation </w:t>
      </w:r>
      <w:r>
        <w:rPr>
          <w:rFonts w:asciiTheme="majorHAnsi" w:hAnsiTheme="majorHAnsi" w:cstheme="majorHAnsi"/>
          <w:lang w:val="en-US"/>
        </w:rPr>
        <w:t xml:space="preserve">of Type 2 diabetes </w:t>
      </w:r>
      <w:r w:rsidR="00B9551F" w:rsidRPr="00B9551F">
        <w:rPr>
          <w:rFonts w:asciiTheme="majorHAnsi" w:hAnsiTheme="majorHAnsi" w:cstheme="majorHAnsi"/>
          <w:lang w:val="en-US"/>
        </w:rPr>
        <w:t xml:space="preserve">in septic </w:t>
      </w:r>
      <w:r>
        <w:rPr>
          <w:rFonts w:asciiTheme="majorHAnsi" w:hAnsiTheme="majorHAnsi" w:cstheme="majorHAnsi"/>
          <w:lang w:val="en-US"/>
        </w:rPr>
        <w:t>state</w:t>
      </w:r>
      <w:r w:rsidR="00B9551F" w:rsidRPr="00B9551F">
        <w:rPr>
          <w:rFonts w:asciiTheme="majorHAnsi" w:hAnsiTheme="majorHAnsi" w:cstheme="majorHAnsi"/>
          <w:lang w:val="en-US"/>
        </w:rPr>
        <w:t xml:space="preserve"> (CRP), </w:t>
      </w:r>
      <w:r>
        <w:rPr>
          <w:rFonts w:asciiTheme="majorHAnsi" w:hAnsiTheme="majorHAnsi" w:cstheme="majorHAnsi"/>
          <w:lang w:val="en-US"/>
        </w:rPr>
        <w:t xml:space="preserve">a </w:t>
      </w:r>
      <w:r w:rsidR="00B9551F" w:rsidRPr="00B9551F">
        <w:rPr>
          <w:rFonts w:asciiTheme="majorHAnsi" w:hAnsiTheme="majorHAnsi" w:cstheme="majorHAnsi"/>
          <w:lang w:val="en-US"/>
        </w:rPr>
        <w:t xml:space="preserve">male </w:t>
      </w:r>
      <w:proofErr w:type="spellStart"/>
      <w:r>
        <w:rPr>
          <w:rFonts w:asciiTheme="majorHAnsi" w:hAnsiTheme="majorHAnsi" w:cstheme="majorHAnsi"/>
          <w:lang w:val="en-US"/>
        </w:rPr>
        <w:t>patientbwas</w:t>
      </w:r>
      <w:proofErr w:type="spellEnd"/>
      <w:r>
        <w:rPr>
          <w:rFonts w:asciiTheme="majorHAnsi" w:hAnsiTheme="majorHAnsi" w:cstheme="majorHAnsi"/>
          <w:lang w:val="en-US"/>
        </w:rPr>
        <w:t xml:space="preserve"> born</w:t>
      </w:r>
      <w:r w:rsidR="00B9551F" w:rsidRPr="00B9551F">
        <w:rPr>
          <w:rFonts w:asciiTheme="majorHAnsi" w:hAnsiTheme="majorHAnsi" w:cstheme="majorHAnsi"/>
          <w:lang w:val="en-US"/>
        </w:rPr>
        <w:t xml:space="preserve"> 1991, obesity</w:t>
      </w:r>
    </w:p>
    <w:p w14:paraId="505FFCBB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>- Mineral imbalance</w:t>
      </w:r>
    </w:p>
    <w:p w14:paraId="0D6F6C00" w14:textId="4717C478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- Significant mixed dyslipidemia associated with insulin resistance and </w:t>
      </w:r>
      <w:r w:rsidR="00A156DB">
        <w:rPr>
          <w:rFonts w:asciiTheme="majorHAnsi" w:hAnsiTheme="majorHAnsi" w:cstheme="majorHAnsi"/>
          <w:lang w:val="en-US"/>
        </w:rPr>
        <w:t>decontrolled diabetes</w:t>
      </w:r>
      <w:r w:rsidRPr="00B9551F">
        <w:rPr>
          <w:rFonts w:asciiTheme="majorHAnsi" w:hAnsiTheme="majorHAnsi" w:cstheme="majorHAnsi"/>
          <w:lang w:val="en-US"/>
        </w:rPr>
        <w:t xml:space="preserve"> </w:t>
      </w:r>
    </w:p>
    <w:p w14:paraId="068EFC38" w14:textId="12722B5B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- High fasting glucose and very high HbA1c, </w:t>
      </w:r>
      <w:r w:rsidR="00A156DB" w:rsidRPr="00B9551F">
        <w:rPr>
          <w:rFonts w:asciiTheme="majorHAnsi" w:hAnsiTheme="majorHAnsi" w:cstheme="majorHAnsi"/>
          <w:lang w:val="en-US"/>
        </w:rPr>
        <w:t xml:space="preserve">glycosuria </w:t>
      </w:r>
      <w:r w:rsidRPr="00B9551F">
        <w:rPr>
          <w:rFonts w:asciiTheme="majorHAnsi" w:hAnsiTheme="majorHAnsi" w:cstheme="majorHAnsi"/>
          <w:lang w:val="en-US"/>
        </w:rPr>
        <w:t xml:space="preserve">at the same time </w:t>
      </w:r>
    </w:p>
    <w:p w14:paraId="4BA3F713" w14:textId="3B5822FB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- Both antiIA2 and </w:t>
      </w:r>
      <w:proofErr w:type="spellStart"/>
      <w:r w:rsidRPr="00B9551F">
        <w:rPr>
          <w:rFonts w:asciiTheme="majorHAnsi" w:hAnsiTheme="majorHAnsi" w:cstheme="majorHAnsi"/>
          <w:lang w:val="en-US"/>
        </w:rPr>
        <w:t>antiGAD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 negative antibodies do not support </w:t>
      </w:r>
      <w:r w:rsidR="00A156DB">
        <w:rPr>
          <w:rFonts w:asciiTheme="majorHAnsi" w:hAnsiTheme="majorHAnsi" w:cstheme="majorHAnsi"/>
          <w:lang w:val="en-US"/>
        </w:rPr>
        <w:t xml:space="preserve">diagnosis of Type 1 diabetes, similar </w:t>
      </w:r>
      <w:r w:rsidRPr="00B9551F">
        <w:rPr>
          <w:rFonts w:asciiTheme="majorHAnsi" w:hAnsiTheme="majorHAnsi" w:cstheme="majorHAnsi"/>
          <w:lang w:val="en-US"/>
        </w:rPr>
        <w:t xml:space="preserve">as other manifestations (obesity, </w:t>
      </w:r>
      <w:r w:rsidR="00A156DB">
        <w:rPr>
          <w:rFonts w:asciiTheme="majorHAnsi" w:hAnsiTheme="majorHAnsi" w:cstheme="majorHAnsi"/>
          <w:lang w:val="en-US"/>
        </w:rPr>
        <w:t>dyslipidemia</w:t>
      </w:r>
      <w:r w:rsidRPr="00B9551F">
        <w:rPr>
          <w:rFonts w:asciiTheme="majorHAnsi" w:hAnsiTheme="majorHAnsi" w:cstheme="majorHAnsi"/>
          <w:lang w:val="en-US"/>
        </w:rPr>
        <w:t>)</w:t>
      </w:r>
    </w:p>
    <w:p w14:paraId="6C4A7B73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006EEC08" w14:textId="77777777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</w:p>
    <w:p w14:paraId="3A61AF1F" w14:textId="77777777" w:rsidR="00B9551F" w:rsidRPr="00A156DB" w:rsidRDefault="00B9551F" w:rsidP="00A15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</w:pPr>
      <w:r w:rsidRPr="00A156DB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 w:eastAsia="cs-CZ"/>
        </w:rPr>
        <w:t>Explanation No. 5:</w:t>
      </w:r>
    </w:p>
    <w:p w14:paraId="5088054A" w14:textId="5D68AA5C" w:rsidR="00B9551F" w:rsidRPr="00B9551F" w:rsidRDefault="00A156DB" w:rsidP="00B9551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First </w:t>
      </w:r>
      <w:r w:rsidRPr="00B9551F">
        <w:rPr>
          <w:rFonts w:asciiTheme="majorHAnsi" w:hAnsiTheme="majorHAnsi" w:cstheme="majorHAnsi"/>
          <w:lang w:val="en-US"/>
        </w:rPr>
        <w:t xml:space="preserve">manifestation </w:t>
      </w:r>
      <w:r>
        <w:rPr>
          <w:rFonts w:asciiTheme="majorHAnsi" w:hAnsiTheme="majorHAnsi" w:cstheme="majorHAnsi"/>
          <w:lang w:val="en-US"/>
        </w:rPr>
        <w:t xml:space="preserve"> of Type 1 diabetes</w:t>
      </w:r>
      <w:r w:rsidR="00B9551F" w:rsidRPr="00B9551F">
        <w:rPr>
          <w:rFonts w:asciiTheme="majorHAnsi" w:hAnsiTheme="majorHAnsi" w:cstheme="majorHAnsi"/>
          <w:lang w:val="en-US"/>
        </w:rPr>
        <w:t xml:space="preserve">, </w:t>
      </w:r>
      <w:r>
        <w:rPr>
          <w:rFonts w:asciiTheme="majorHAnsi" w:hAnsiTheme="majorHAnsi" w:cstheme="majorHAnsi"/>
          <w:lang w:val="en-US"/>
        </w:rPr>
        <w:t>a fe</w:t>
      </w:r>
      <w:r w:rsidRPr="00B9551F">
        <w:rPr>
          <w:rFonts w:asciiTheme="majorHAnsi" w:hAnsiTheme="majorHAnsi" w:cstheme="majorHAnsi"/>
          <w:lang w:val="en-US"/>
        </w:rPr>
        <w:t xml:space="preserve">male </w:t>
      </w:r>
      <w:r>
        <w:rPr>
          <w:rFonts w:asciiTheme="majorHAnsi" w:hAnsiTheme="majorHAnsi" w:cstheme="majorHAnsi"/>
          <w:lang w:val="en-US"/>
        </w:rPr>
        <w:t>patient was born</w:t>
      </w:r>
      <w:r w:rsidRPr="00B9551F">
        <w:rPr>
          <w:rFonts w:asciiTheme="majorHAnsi" w:hAnsiTheme="majorHAnsi" w:cstheme="majorHAnsi"/>
          <w:lang w:val="en-US"/>
        </w:rPr>
        <w:t xml:space="preserve"> 19</w:t>
      </w:r>
      <w:r>
        <w:rPr>
          <w:rFonts w:asciiTheme="majorHAnsi" w:hAnsiTheme="majorHAnsi" w:cstheme="majorHAnsi"/>
          <w:lang w:val="en-US"/>
        </w:rPr>
        <w:t>80</w:t>
      </w:r>
      <w:r w:rsidR="00B9551F" w:rsidRPr="00B9551F">
        <w:rPr>
          <w:rFonts w:asciiTheme="majorHAnsi" w:hAnsiTheme="majorHAnsi" w:cstheme="majorHAnsi"/>
          <w:lang w:val="en-US"/>
        </w:rPr>
        <w:t>, normal habitus</w:t>
      </w:r>
    </w:p>
    <w:p w14:paraId="0D3FC2B3" w14:textId="6C96061D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- High fasting glucose and very high HbA1c, </w:t>
      </w:r>
      <w:r w:rsidR="00521E9F" w:rsidRPr="00B9551F">
        <w:rPr>
          <w:rFonts w:asciiTheme="majorHAnsi" w:hAnsiTheme="majorHAnsi" w:cstheme="majorHAnsi"/>
          <w:lang w:val="en-US"/>
        </w:rPr>
        <w:t xml:space="preserve">glycosuria </w:t>
      </w:r>
      <w:r w:rsidRPr="00B9551F">
        <w:rPr>
          <w:rFonts w:asciiTheme="majorHAnsi" w:hAnsiTheme="majorHAnsi" w:cstheme="majorHAnsi"/>
          <w:lang w:val="en-US"/>
        </w:rPr>
        <w:t xml:space="preserve">at the same time </w:t>
      </w:r>
    </w:p>
    <w:p w14:paraId="621D0632" w14:textId="0FAD1726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 xml:space="preserve">- The positivity of antiIA2, </w:t>
      </w:r>
      <w:proofErr w:type="spellStart"/>
      <w:r w:rsidRPr="00B9551F">
        <w:rPr>
          <w:rFonts w:asciiTheme="majorHAnsi" w:hAnsiTheme="majorHAnsi" w:cstheme="majorHAnsi"/>
          <w:lang w:val="en-US"/>
        </w:rPr>
        <w:t>antiGAD</w:t>
      </w:r>
      <w:proofErr w:type="spellEnd"/>
      <w:r w:rsidRPr="00B9551F">
        <w:rPr>
          <w:rFonts w:asciiTheme="majorHAnsi" w:hAnsiTheme="majorHAnsi" w:cstheme="majorHAnsi"/>
          <w:lang w:val="en-US"/>
        </w:rPr>
        <w:t xml:space="preserve">, low insulin and C-peptide antibodies </w:t>
      </w:r>
      <w:r w:rsidR="00521E9F">
        <w:rPr>
          <w:rFonts w:asciiTheme="majorHAnsi" w:hAnsiTheme="majorHAnsi" w:cstheme="majorHAnsi"/>
          <w:lang w:val="en-US"/>
        </w:rPr>
        <w:t>support diagnosis of Type 1 diabetes</w:t>
      </w:r>
    </w:p>
    <w:p w14:paraId="6A1F9ED9" w14:textId="57918725" w:rsidR="00B9551F" w:rsidRPr="00B9551F" w:rsidRDefault="00B9551F" w:rsidP="00B9551F">
      <w:pPr>
        <w:rPr>
          <w:rFonts w:asciiTheme="majorHAnsi" w:hAnsiTheme="majorHAnsi" w:cstheme="majorHAnsi"/>
          <w:lang w:val="en-US"/>
        </w:rPr>
      </w:pPr>
      <w:r w:rsidRPr="00B9551F">
        <w:rPr>
          <w:rFonts w:asciiTheme="majorHAnsi" w:hAnsiTheme="majorHAnsi" w:cstheme="majorHAnsi"/>
          <w:lang w:val="en-US"/>
        </w:rPr>
        <w:t>- This is also supported by the presence of metabolic (keto) acidosis</w:t>
      </w:r>
      <w:r w:rsidR="00521E9F">
        <w:rPr>
          <w:rFonts w:asciiTheme="majorHAnsi" w:hAnsiTheme="majorHAnsi" w:cstheme="majorHAnsi"/>
          <w:lang w:val="en-US"/>
        </w:rPr>
        <w:t xml:space="preserve"> with k</w:t>
      </w:r>
      <w:r w:rsidRPr="00B9551F">
        <w:rPr>
          <w:rFonts w:asciiTheme="majorHAnsi" w:hAnsiTheme="majorHAnsi" w:cstheme="majorHAnsi"/>
          <w:lang w:val="en-US"/>
        </w:rPr>
        <w:t>etone bodies in urine</w:t>
      </w:r>
    </w:p>
    <w:p w14:paraId="03469F58" w14:textId="56268D1B" w:rsidR="00BB1858" w:rsidRPr="00B9551F" w:rsidRDefault="00BB1858" w:rsidP="00B9551F">
      <w:pPr>
        <w:rPr>
          <w:rFonts w:asciiTheme="majorHAnsi" w:hAnsiTheme="majorHAnsi" w:cstheme="majorHAnsi"/>
          <w:lang w:val="en-US"/>
        </w:rPr>
      </w:pPr>
    </w:p>
    <w:sectPr w:rsidR="00BB1858" w:rsidRPr="00B9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1F"/>
    <w:rsid w:val="00521E9F"/>
    <w:rsid w:val="00A156DB"/>
    <w:rsid w:val="00B9551F"/>
    <w:rsid w:val="00BB1858"/>
    <w:rsid w:val="00D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DE12"/>
  <w15:chartTrackingRefBased/>
  <w15:docId w15:val="{7EA31A29-C845-4BC0-891B-FE5F7681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1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Škrha</dc:creator>
  <cp:keywords/>
  <dc:description/>
  <cp:lastModifiedBy>Jan Škrha</cp:lastModifiedBy>
  <cp:revision>1</cp:revision>
  <dcterms:created xsi:type="dcterms:W3CDTF">2020-10-26T12:37:00Z</dcterms:created>
  <dcterms:modified xsi:type="dcterms:W3CDTF">2020-10-26T13:13:00Z</dcterms:modified>
</cp:coreProperties>
</file>